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241</w:t>
      </w:r>
    </w:p>
    <w:p>
      <w:r>
        <w:t>Bundesgericht (BGE), 1971-05-05, DE</w:t>
      </w:r>
    </w:p>
    <w:p>
      <w:r>
        <w:rPr>
          <w:b/>
        </w:rPr>
        <w:t xml:space="preserve">Quelle: </w:t>
      </w:r>
      <w:r>
        <w:t>https://mcp.opencaselaw.ch/entscheid/bge_97 I 241</w:t>
      </w:r>
    </w:p>
    <w:p>
      <w:r>
        <w:t>FR: ATF 97 I 241</w:t>
      </w:r>
    </w:p>
    <w:p>
      <w:r>
        <w:t>IT: DTF 97 I 241</w:t>
      </w:r>
    </w:p>
    <w:p>
      <w:pPr>
        <w:pStyle w:val="Heading2"/>
      </w:pPr>
      <w:r>
        <w:t>Regeste</w:t>
      </w:r>
    </w:p>
    <w:p>
      <w:r>
        <w:t>Regeste Interkantonales Bodenverbesserungsunternehmen im Sinne des Art. 83 des BG über die Förderung der Landwirtschaft (LWG). Genügt für die Errichtung eines solchen Unternehmens die Verständigung unter den Kantonsregierungen oder bedarf es dafür eines förmlichen interkantonalen Staatsvertrages?</w:t>
      </w:r>
    </w:p>
    <w:p>
      <w:pPr>
        <w:pStyle w:val="Heading2"/>
      </w:pPr>
      <w:r>
        <w:t>Erwägungen</w:t>
      </w:r>
    </w:p>
    <w:p>
      <w:r>
        <w:rPr>
          <w:b/>
        </w:rPr>
        <w:t>E. 2</w:t>
      </w:r>
    </w:p>
    <w:p>
      <w:r>
        <w:t>Die Tätigkeit der Güter- und Waldzusammenlegungskorporation Rickenbach und Umgebung und der Rekurskommission, deren Entscheid angefochten ist, beruht auf einer "Verständigung" ( Art. 83 LWG ) oder, wie § 45 der Statuten sagt, auf einer "Vereinbarung" zwischen den beteiligten Kantonsregierungen. Der Regierungsrat des Kantons St. Gallen hat zudem mit Botschaft vom 16. September 1963 den Grossen Rat über das interkantonale Unternehmen orientiert, und dieser hat durch die Bewilligung des kantonalen Beitrages der Durchführung der Güterzusammenlegung zugestimmt. Der Beschwerdeführer nimmt aber an, diese nur implicite Zustimmung des Grossen Rates habe nicht genügt, um das interkantonale Unternehmen und dessen Rekurskommission verfassungskonform BGE 97 I 241 S. 245 zu konstituieren. Vielmehr hätte es dazu einer formellen interkantonalen Vereinbarung im Sinne von Art. 55 Ziff. 6 KV bedurft. Eine solche sei nicht zustandegekommen. a) Es ist anerkannt, dass interkantonale Vereinbarungen eine unterschiedliche Tragweite haben können und dass dementsprechend auch die verfassungsrechtliche Zuständigkeit zum Abschluss solcher Vereinbarungen verschieden geordnet sein kann. Das Bundesgericht hat bereits in BGE 40 I 395 und erneut in BGE 96 I 213 festgehalten, dass nicht jede Verständigung zwischen Kantonen ein "Konkordat" im Sinne der einschlägigen Kantonsverfassungen ist. In jenen beiden Entscheiden ging es darum, ob bestimmte interkantonale Vereinbarungen der Volksabstimmung zu unterwerfen waren oder nicht, und es wurde festgehalten, dass dies nur dann zu bejahen sei, wenn der Gegenstand der interkantonalen Vereinbarung der Volksabstimmung unterläge, sofern der Kanton einseitig eine entsprechende Anordnung träfe. Im vorliegenden Fall steht nun nicht die Abgrenzung der Zuständigkeit zwischen Volk und Grossem Rat, sondern die Abgrenzung der Zuständigkeit zwischen Regierungsrat und Grossem Rat zur Diskussion. Ob es im Kanton St. Gallen bei interkantonalen Staatsverträgen überhaupt ein Referendum gibt - die KV sieht es nicht ausdrücklich vor - ist an dieser Stelle ohne Belang. Zu entscheiden ist vielmehr, ob schlechthin jede Verständigung des Kantons St. Gallen mit einem Nachbarkanton ein "Verkommnis" oder einen Vertrag mit einem andern Kanton im Sinne von Art. 55 Ziff. 6 KV darstellt, oder ob auch die sanktgallische KV Formen der vertraglichen Verständigung unmittelbar zwischen den Kantonsregierungen zulässt, bzw. ob hier ein solcher Fall vorliegt. b) In der deutschen Staatsrechtslehre ist die Zulässigkeit von "Verwaltungsabkommen", die zwischen den Exekutiven von Gliedstaaten abgeschlossen werden, grundsätzlich anerkannt (SCHNEIDER, Verträge zwischen Gliedstaaten im Bundesstaat, Veröffentlichungen der Vereinigung der deutschen Staatsrechtslehrer, Heft 19 (1961), S. 9 ff.). In der Schweiz scheinen Lehre und Rechtsprechung noch weniger gefestigt. Immerhin wird der Begriff des Konkordates (Verkommnis) häufig diskutiert, vor allem hinsichtlich der Frage, ob innerhalb der Gesamtheit der interkantonalen Vereinbarungen die Konkordate als ein engerer Begriff- Vereinbarungen von erhöhter Wichtigkeit oder Vereinbarungen mit rechtsetzender Bedeutung - herauszuheben seien BGE 97 I 241 S. 246 (HÄFELIN, Der kooperative Föderalismus in der Schweiz, ZSR 1969, S. 587 ff.; DOMINICE, Fédéralisme coopératif, ZSR 1969, S. 832 ff.; SCHAUMANN, Verträge zwischen Gliedstaaten im Bundesstaat, Veröffentlichungen der Vereinigung deutscher Staatsrechtslehrer, Heft 19 (1961), S. 92 ff; AUBERT, Traité de droit constitutionnel, S. 330 ff.; KEHRLI, Interkantonales Konkordatsrecht, Diss. Zürich 1968, S. 21 ff.). Auf die verschiedenen Lehrmeinungen braucht jedoch hier nicht näher eingegangen zu werden, denn es ginge auf jeden Fall zu weit, anzunehmen, dass jede Form der Verständigung zwischen zwei Kantonen über irgendeine gemeinsame Verwaltungsaufgabe in die Form eines "Konkordates" gekleidet werden müsste - selbst dann, wenn bereits die gesetzlichen Voraussetzungen für eine solche Verständigung gegeben sind. Vielmehr ist anzunehmen, dass dort, wo dies der Fall ist, die "Verständigung" zwischen den Kantonen durchaus durch gleichgerichtete Willenserklärungen der Kantonsregierungen, also durch Verwaltungsvereinbarungen, erfolgen kann. Diese Voraussetzung ist im vorliegenden Fall erfüllt. Art. 83 LWG sieht die Schaffung interkantonaler Güterzusammenlegungsunternehmen auf dem Wege der Verständigung zwischen den Kantonen ausdrücklich vor. Unter diesen Umständen erscheint die Verständigung zwischen den Kantonen als ein Akt der Rechtsanwendung, der grundsätzlich in die Kompetenz der Exekutive fällt. Wie der St. Galler Regierungsrat in seiner Vernehmlassung mit Recht ausführt, ergibt sich seine Zuständigkeit zur Errichtung interkantonaler Bodenverbesserungsunternehmen unmittelbar aus dem Bundesrecht. Dass Art. 83 LWG so auszulegen ist, wird erst recht deutlich, wenn diese Bestimmung im Zusammenhang mit den andern Vorschriften des 5. Titels des LWG (Art. 77 ff.) gesehen wird. So ist der Erlass allgemein verbindlicher Normen, die für alle Bodenverbesserungsunternehmen gelten, der Gesetzgebung der Kantone überlassen (Art. 77 Abs. 4, 81 Abs. 4), während im Zusammenhang mit einzelne Unternehmen betreffenden Fragen stets die Kantonsregierung oder die "zuständige kantonale Behörde" genannt wird (Art. 77 Abs. 3, 80 Abs. 2, 82 Abs. 1). Das bedeutet auch hier - analog zu andern Rechtsgebieten - dass allgemein verbindliche Vorschriften über Bodenverbesserungen und Bodenverbesserungsgenossenschaften durch die Legislative erlassen werden, während die Errichtung der einzelnen Genossenschaft BGE 97 I 241 S. 247 nur noch Rechtsanwendung ist. Dieses Auslegungsergebnis entspricht auch den übrigen bundesrechtlichen Bestimmungen betreffend Güterzusammenlegungen ( Art. 30 ff. NSG , Art. 703 ZGB ), auf die sich die Beschwerdegegnerin ebenfalls stützt. Aus diesen Bestimmungen geht eindeutig hervor, dass die Kantone zwar durch zusätzliche Vorschriften das Verfahren für Landumlegungen näher zu ordnen haben, durch allgemein verbindliche Normen also, deren Erlass in der Regel in die Kompetenz der Legislative fällt, dass aber die Durchführung eines einzelnen Landumlegungsunternehmens stets ein Akt der Rechtsanwendung ist. So bestimmt z.B. Art. 36 NSG : "Die kantonale Regierung kann für den Strassenbau notwendige Landumlegungen verfügen." Ferner hat das Bundesgericht schon vor einigen Jahren festgehalten, dass es sich bei Güterzusammenlegungen und Landumlegungen um Verfahren handelt, die auf die Verwirklichung eines konkreten Projekts gehen, mit der rechtskräftigen Neuverteilung schliessen und über diese hinaus keine rechtlichen Wirkungen entfalten ( BGE 86 I 148 /9). Dass die Durchführung eines Güterzusammenlegungsunternehmens blosse Rechtsanwendung ist, geht schliesslich schon daraus hervor, dass bei direkter Verständigung der Grundeigentümer gar keine staatliche Mitwirkung erforderlich ist (vgl. Art. 125 des sanktgallischen EG/ZGB). Was aber von Bundesrechts wegen innerkantonal Rechtsanwendung ist, bleibt auch interkantonal Rechtsanwendung. Im vorliegenden Fall stellten nun die Kantone St. Gallen und Thurgau nicht allgemein verbindliche Vorschriften betreffend gemeinsame Landumlegungen auf, sondern sie beschlossen die Durchführung eines konkreten Güterzusammenlegungsunternehmens in Ausführung von Art. 83 LWG , Art. 30-34 NSG und der beiden kantonalen EG/ZGB. Dass dadurch eine grosse Zahl von Grundstücken und Grundeigentümern erfasst wird, sowie der Umstand, dass für dieses Unternehmen Statuten aufgestellt und Kommissionen eingesetzt werden mussten, ändern am Rechtsanwendungscharakter dieser Massnahme nichts (vgl. den bereits zitierten BGE 86 I 148 /9). Insbesondere erachtet der Beschwerdeführer als verfassungswidrig, dass ihm der Regierungsrat durch sein Vorgehen die Möglichkeit der Anrufung der Verwaltungsrekurskommission und des Verwaltungsgerichts genommen habe. Gemäss Art. 141 und 146 des sanktgallischen EG/ZGB können Entscheide des BGE 97 I 241 S. 248 Gemeinderates oder der Schätzungskommission durch Rekurs an die Verwaltungsrekurskommission weitergezogen werden. Der Beschwerdeführer anerkennt jedoch selber, dass die Art. 125-147 EG/ZGB nur für rein sanktgallische Güterzusammenlegungskorporationen gelten. Ihre Anwendung auf ein interkantonales Unternehmen wäre folglich nur dann möglich, wenn die beteiligten Kantone oder der Bundesrat das Unternehmen dem sanktgallischen Verfahren unterstellen würden (vgl. Art. 83 LWG ). Dies ist im vorliegenden Fall nicht geschehen. Der Regierungsrat hat dem Beschwerdeführer das erwähnte Rechtsmittel somit nicht vorenthalten, da bei interkantonalen Landumlegungen gar kein Anspruch darauf besteht. Die von den Regierungen der Kantone Thurgau und St. Gallen getroffene Lösung erscheint übrigens als zweckmässig und gerecht: In Anbetracht des Übergewichts der thurgauischen Grundeigentümer wurde grundsätzlich das thurgauische Verfahren gewählt, wobei jedoch der Kanton St. Gallen in allen Gremien mitvertreten ist. Auf die Möglichkeit, dass der Bundesrat im Falle der Uneinigkeit der beiden Kantone das Unternehmen ganz dem thurgauischen Verfahren hätte unterstellen können, sei immerhin hingewiesen. Ferner sei noch festgehalten, dass dem Beschwerdeführer in bezug auf Beschlüsse betreffend Umgrenzung des Beizugsgebietes und die Pflicht zur Beteiligung an Unternehmen der Rekurs an den Regierungsrat des Kantons St. Gallen zur Verfügung gestanden hat (§ 44 Abs. 1 der Statuten). Die übereinstimmende Genehmigung der Statuten der Beschwerdegegnerin durch die Kantonsregierungen von St. Gallen und Thurgau bildet somit kein Verkommnis und keinen Vertrag im Sinne von Art. 55 Ziff. 6 der sanktgallischen KV. Diese Bestimmung darfnicht rein wörtlich ausgelegt werden. Sie steht in einem Spannungsverhältnis zu Art. 60 KV, wonach der Regierungsrat die oberste Verwaltungsbehörde des Kantons ist. Als solche kann er alle Massnahmen treffen, zu denen ihn das Bundesrecht oder das kantonale Recht ermächtigt, einschliesslich der Verständigung mit Nachbarkantonen über die Durchführung solcher Massnahmen. In ähnlicher Weise kann ja auch der Bundesrat im Rahmen seiner Verordnungskompetenzen mit bindender Wirkung Gegenrechtserklärungen abgeben und andere Verwaltungsvereinbarungen abschliessen (vgl. dazu GUGGENHEIM, Traité de droit international public, 2. A. 1967 I S. 151). Es ist zuzugeben, dass die Tragweite, die dem Art. 83 LWG in den vorstehenden BGE 97 I 241 S. 249 Erwägungen gegeben wird, im Wortlaut der Bestimmung nicht klar zum Ausdruck kommt; die Lösung entspricht jedoch dem Zweck der Bestimmung, die Durchführung derartiger interkantonaler Unternehmen zu erleichtern. Im vorliegenden Fall ist das Ergebnis umso weniger stossend, als der Grosse Rat im Rahmen des Antrages des Regierungsrates hinsichtlich der Kreditgewährung über das eingeschlagene Vorgehen orientiert worden war und ihm im Rahmen der - unbestrittenermassen verfassungskonformen - Kreditgewährung stillschweigend zugestimmt hat. Die Rüge des Beschwerdeführers, die Beschwerdegegnerin und die im Zusammenhang damit bestellte Rekurskommission seien in Verletzung der St. Galler KV errichtet worden, erweist sich somit als unbegründet. Unter diesen Umständen braucht nicht geprüft zu werden, ob die Beschwerde schon deshalb abzuweisen wäre, weil der Beschwerdeführer in einem früheren Verfahren die Verfassungsmässigkeit des interkantonalen Güterzusammenlegungsunternehmens und der von den beiden Kantonsregierungen bestellten Rekurskommission nicht gerügt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